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FE" w:rsidRPr="006474FE" w:rsidRDefault="006474FE" w:rsidP="006474FE">
      <w:bookmarkStart w:id="0" w:name="_GoBack"/>
      <w:bookmarkEnd w:id="0"/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22840EBD" wp14:editId="3F363EAE">
            <wp:extent cx="2686979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P_logo_fu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785" cy="42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4FE" w:rsidRDefault="006474FE" w:rsidP="006474FE">
      <w:pPr>
        <w:jc w:val="both"/>
        <w:rPr>
          <w:b/>
          <w:bCs/>
        </w:rPr>
      </w:pPr>
      <w:r>
        <w:rPr>
          <w:b/>
          <w:bCs/>
        </w:rPr>
        <w:t>OBJAVA ZA MEDIJE</w:t>
      </w:r>
    </w:p>
    <w:p w:rsidR="006474FE" w:rsidRPr="006474FE" w:rsidRDefault="006474FE" w:rsidP="006474FE">
      <w:pPr>
        <w:jc w:val="both"/>
      </w:pPr>
      <w:r w:rsidRPr="006474FE">
        <w:rPr>
          <w:b/>
          <w:bCs/>
        </w:rPr>
        <w:t xml:space="preserve">HEP d.d. uspješno refinancirao </w:t>
      </w:r>
      <w:proofErr w:type="spellStart"/>
      <w:r w:rsidRPr="006474FE">
        <w:rPr>
          <w:b/>
          <w:bCs/>
        </w:rPr>
        <w:t>euroobveznice</w:t>
      </w:r>
      <w:proofErr w:type="spellEnd"/>
      <w:r w:rsidRPr="006474FE">
        <w:rPr>
          <w:b/>
          <w:bCs/>
        </w:rPr>
        <w:t xml:space="preserve"> novim izdanjem u iznosu od USD 550 mil. dospijeća 2022. godine s kuponskom kamatnom stopom od 5,875% </w:t>
      </w:r>
    </w:p>
    <w:p w:rsidR="006474FE" w:rsidRDefault="006474FE" w:rsidP="006474FE">
      <w:pPr>
        <w:jc w:val="both"/>
        <w:rPr>
          <w:b/>
        </w:rPr>
      </w:pPr>
      <w:r>
        <w:t xml:space="preserve">ZAGREB, </w:t>
      </w:r>
      <w:r w:rsidRPr="00970EF4">
        <w:t>21. listopada 2015</w:t>
      </w:r>
      <w:r w:rsidRPr="006474FE">
        <w:t xml:space="preserve">. - </w:t>
      </w:r>
      <w:r w:rsidRPr="006474FE">
        <w:rPr>
          <w:b/>
        </w:rPr>
        <w:t xml:space="preserve">Hrvatska elektroprivreda d.d. (HEP) </w:t>
      </w:r>
      <w:r w:rsidRPr="00970EF4">
        <w:rPr>
          <w:b/>
        </w:rPr>
        <w:t xml:space="preserve">je 19. listopada odredila </w:t>
      </w:r>
      <w:r w:rsidRPr="006474FE">
        <w:rPr>
          <w:b/>
        </w:rPr>
        <w:t xml:space="preserve">konačne uvjete novog izdanja obveznica denominiranih u USD koje su bile ponuđene investitorima na međunarodnom tržištu kapitala. </w:t>
      </w:r>
    </w:p>
    <w:p w:rsidR="006474FE" w:rsidRPr="006474FE" w:rsidRDefault="006474FE" w:rsidP="006474FE">
      <w:pPr>
        <w:jc w:val="both"/>
      </w:pPr>
      <w:r w:rsidRPr="006474FE">
        <w:t>Nove</w:t>
      </w:r>
      <w:r w:rsidR="00970EF4">
        <w:t xml:space="preserve"> </w:t>
      </w:r>
      <w:proofErr w:type="spellStart"/>
      <w:r w:rsidRPr="006474FE">
        <w:t>euroobveznice</w:t>
      </w:r>
      <w:proofErr w:type="spellEnd"/>
      <w:r w:rsidRPr="006474FE">
        <w:t xml:space="preserve"> u iznosu od 550 milijuna američkih dolara izdat će se uz prinos od 6,125%, kupon od 5,875% i jednokratno dospijeće glavnice u 2022. godini. Iznos prikupljen novim izdanjem koristit će se primarno za otkup postojećih obveznica dok će se preostala razlika (manje od 20% novog iznosa izdanja) koristiti za opće poslovne svrhe. Priprema refinanciranja postojećih obveznica odvijala se kroz dvije paralelne radnje - proces otkupa starih obveznica (koji je rezultirao iznimno visokim postotkom otkupa od 83.37%) i sastanaka s investitorima vezanih uz novo izdanje. Zajednički aranžeri i pokrovitelji izdanja su Banca IMI/PBZ, Morgan Stanley i </w:t>
      </w:r>
      <w:proofErr w:type="spellStart"/>
      <w:r w:rsidRPr="006474FE">
        <w:t>Unicredit</w:t>
      </w:r>
      <w:proofErr w:type="spellEnd"/>
      <w:r w:rsidRPr="006474FE">
        <w:t xml:space="preserve">/Zagrebačka banka. </w:t>
      </w:r>
    </w:p>
    <w:p w:rsidR="006474FE" w:rsidRPr="006474FE" w:rsidRDefault="006474FE" w:rsidP="006474FE">
      <w:pPr>
        <w:jc w:val="both"/>
      </w:pPr>
      <w:r w:rsidRPr="006474FE">
        <w:t xml:space="preserve">Novo izdane obveznice rezultirat će smanjenim troškom financiranja obzirom na povoljne tržišne uvjete u kojima prevladavaju niske kamatne stope. Konkretno, postojeće izdanje nakon provedene transakcije valutne zamjene nosilo je kupon od 6,53%, dok će novo izdanje nositi kupon od 4,85% uz dulju ročnost od prethodnog izdanja. Novim izdanjem gotovo 18 mjeseci prije dospijeća postojećih obveznica HEP je izbjegao rizik refinanciranja u okolnostima u kojima se dug po obveznicama tretira kao kratkoročni dug. Takav poslovni potez imati će pozitivan efekt na percepciju društva od strane rejting agencija. </w:t>
      </w:r>
    </w:p>
    <w:p w:rsidR="006474FE" w:rsidRPr="006474FE" w:rsidRDefault="006474FE" w:rsidP="006474FE">
      <w:pPr>
        <w:jc w:val="both"/>
      </w:pPr>
      <w:r w:rsidRPr="006474FE">
        <w:t>Potražnja za novim izdanjem bila je gotovo 4 puta veća od ponuđenog iznosa te je premašila 2 milijarde američkih dolara. Međunarodni institucionalni investitori, među kojima su i brojni ugledni svjetski fondovi kao i investitori koji su sudjelovali u starom izdanju, njih oko 175 iz 30-tak zemalja, uključujući i Hrvatsku, prepoznali su HEP kao dokazanog energetskog lidera i stabilnu kompaniju, sa dobrim bonitetom i kvalitetnim planom ulaganja u ključne kapitalne investicije. HEP se zadužio na temelju samostalnog kreditnog rejtinga (BB-/Standard&amp;</w:t>
      </w:r>
      <w:proofErr w:type="spellStart"/>
      <w:r w:rsidRPr="006474FE">
        <w:t>Poor</w:t>
      </w:r>
      <w:proofErr w:type="spellEnd"/>
      <w:r w:rsidRPr="006474FE">
        <w:t>'s i Ba2/</w:t>
      </w:r>
      <w:proofErr w:type="spellStart"/>
      <w:r w:rsidRPr="006474FE">
        <w:t>Moody</w:t>
      </w:r>
      <w:proofErr w:type="spellEnd"/>
      <w:r w:rsidRPr="006474FE">
        <w:t xml:space="preserve">'s), što dodatno potvrđuje da su međunarodni investitori prepoznali snagu i potencijal HEP-a. </w:t>
      </w:r>
    </w:p>
    <w:p w:rsidR="00F053D9" w:rsidRDefault="006474FE" w:rsidP="006474FE">
      <w:pPr>
        <w:jc w:val="both"/>
      </w:pPr>
      <w:r w:rsidRPr="006474FE">
        <w:t xml:space="preserve">Važno je napomenuti da je nakon prvog izdanja </w:t>
      </w:r>
      <w:proofErr w:type="spellStart"/>
      <w:r w:rsidRPr="006474FE">
        <w:t>euroobveznica</w:t>
      </w:r>
      <w:proofErr w:type="spellEnd"/>
      <w:r w:rsidRPr="006474FE">
        <w:t xml:space="preserve"> 2012. godine HEP implementirao nova pravila korporativnog poslovanja – transparentnost, točnost i otvorenost prema investitorima, kao i pravovremeno i jasno informiranje o poslovnim rezultatima i budućim aktivnostima. Uspješno drugo izdanje </w:t>
      </w:r>
      <w:proofErr w:type="spellStart"/>
      <w:r w:rsidRPr="006474FE">
        <w:t>euroobveznica</w:t>
      </w:r>
      <w:proofErr w:type="spellEnd"/>
      <w:r w:rsidRPr="006474FE">
        <w:t xml:space="preserve"> dokaz je da je HEP, ne samo poštovao zahtjeve investitora, već i izgradio respektabilan ugled na međunarodnom tržištu dužničkog kapitala koji je poslužio kao snažan temelj za veliku potražnju i uspješno novo izdanje. Dodatno, HEP je procesom refinanciranja obveznica kroz novo izdanje dokazao da je među rijetkim kompanijama na tržištu koje </w:t>
      </w:r>
      <w:proofErr w:type="spellStart"/>
      <w:r w:rsidRPr="006474FE">
        <w:t>proaktivno</w:t>
      </w:r>
      <w:proofErr w:type="spellEnd"/>
      <w:r w:rsidRPr="006474FE">
        <w:t xml:space="preserve"> upravljaju svojim dugom te je na ovaj način pokazao sposobnost financijskog</w:t>
      </w:r>
      <w:r>
        <w:t xml:space="preserve"> upravljanja koja je u skladu s</w:t>
      </w:r>
      <w:r w:rsidRPr="006474FE">
        <w:t xml:space="preserve"> najboljom svjetskom praksom.</w:t>
      </w:r>
    </w:p>
    <w:sectPr w:rsidR="00F0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FE"/>
    <w:rsid w:val="003F648C"/>
    <w:rsid w:val="006474FE"/>
    <w:rsid w:val="00970EF4"/>
    <w:rsid w:val="0099462D"/>
    <w:rsid w:val="00F0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Alfirev</dc:creator>
  <cp:lastModifiedBy>Anđelko Brezovnjački</cp:lastModifiedBy>
  <cp:revision>2</cp:revision>
  <dcterms:created xsi:type="dcterms:W3CDTF">2016-03-25T09:33:00Z</dcterms:created>
  <dcterms:modified xsi:type="dcterms:W3CDTF">2016-03-25T09:33:00Z</dcterms:modified>
</cp:coreProperties>
</file>